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470732" w:rsidRDefault="00B02FCA" w:rsidP="00E14EC2">
      <w:pPr>
        <w:pStyle w:val="p22"/>
        <w:spacing w:line="280" w:lineRule="exact"/>
        <w:jc w:val="right"/>
        <w:rPr>
          <w:i/>
          <w:sz w:val="20"/>
          <w:lang w:val="en-US"/>
        </w:rPr>
      </w:pPr>
      <w:r w:rsidRPr="00470732">
        <w:rPr>
          <w:sz w:val="20"/>
          <w:lang w:val="en-US"/>
        </w:rPr>
        <w:t>Warsaw, ....................</w:t>
      </w:r>
    </w:p>
    <w:p w14:paraId="128A9DBF" w14:textId="28A0C099" w:rsidR="00421EC0" w:rsidRPr="00470732" w:rsidRDefault="00E14EC2" w:rsidP="00E14EC2">
      <w:pPr>
        <w:pStyle w:val="p22"/>
        <w:spacing w:line="280" w:lineRule="exact"/>
        <w:jc w:val="both"/>
        <w:rPr>
          <w:b/>
          <w:sz w:val="20"/>
          <w:lang w:val="en-US"/>
        </w:rPr>
      </w:pPr>
      <w:r w:rsidRPr="00470732">
        <w:rPr>
          <w:i/>
          <w:iCs/>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b/>
          <w:bCs/>
          <w:sz w:val="20"/>
          <w:lang w:val="en-US"/>
        </w:rPr>
        <w:tab/>
      </w:r>
      <w:r w:rsidRPr="00470732">
        <w:rPr>
          <w:b/>
          <w:bCs/>
          <w:sz w:val="20"/>
          <w:lang w:val="en-US"/>
        </w:rPr>
        <w:tab/>
      </w:r>
      <w:r w:rsidRPr="00470732">
        <w:rPr>
          <w:b/>
          <w:bCs/>
          <w:sz w:val="20"/>
          <w:lang w:val="en-US"/>
        </w:rPr>
        <w:tab/>
      </w:r>
      <w:r w:rsidRPr="00470732">
        <w:rPr>
          <w:b/>
          <w:bCs/>
          <w:sz w:val="20"/>
          <w:lang w:val="en-US"/>
        </w:rPr>
        <w:tab/>
      </w:r>
      <w:r w:rsidRPr="00470732">
        <w:rPr>
          <w:b/>
          <w:bCs/>
          <w:sz w:val="20"/>
          <w:lang w:val="en-US"/>
        </w:rPr>
        <w:tab/>
      </w:r>
    </w:p>
    <w:p w14:paraId="04271B2C" w14:textId="77777777" w:rsidR="00E30E1C" w:rsidRPr="00470732" w:rsidRDefault="00E30E1C" w:rsidP="00421EC0">
      <w:pPr>
        <w:pStyle w:val="p22"/>
        <w:spacing w:line="280" w:lineRule="exact"/>
        <w:ind w:left="4253"/>
        <w:jc w:val="both"/>
        <w:rPr>
          <w:sz w:val="20"/>
          <w:lang w:val="en-US"/>
        </w:rPr>
      </w:pPr>
      <w:r w:rsidRPr="00470732">
        <w:rPr>
          <w:sz w:val="20"/>
          <w:lang w:val="en-US"/>
        </w:rPr>
        <w:t>Beneficiary:</w:t>
      </w:r>
    </w:p>
    <w:p w14:paraId="6AD27663" w14:textId="296E3655" w:rsidR="00421EC0" w:rsidRPr="00470732" w:rsidRDefault="00E14EC2" w:rsidP="00421EC0">
      <w:pPr>
        <w:pStyle w:val="p22"/>
        <w:spacing w:line="280" w:lineRule="exact"/>
        <w:ind w:left="4253"/>
        <w:jc w:val="both"/>
        <w:rPr>
          <w:b/>
          <w:sz w:val="20"/>
          <w:lang w:val="en-US"/>
        </w:rPr>
      </w:pPr>
      <w:r w:rsidRPr="00470732">
        <w:rPr>
          <w:b/>
          <w:bCs/>
          <w:sz w:val="20"/>
          <w:lang w:val="en-US"/>
        </w:rPr>
        <w:t xml:space="preserve">Izba Rozliczeniowa Giełd Towarowych S.A. with its registered office in Warsaw, </w:t>
      </w:r>
      <w:r w:rsidRPr="00470732">
        <w:rPr>
          <w:sz w:val="20"/>
          <w:lang w:val="en-US"/>
        </w:rPr>
        <w:t>ul. Książęca 4, 00-498 Warsaw,</w:t>
      </w:r>
      <w:r w:rsidRPr="00470732">
        <w:rPr>
          <w:b/>
          <w:bCs/>
          <w:sz w:val="20"/>
          <w:lang w:val="en-US"/>
        </w:rPr>
        <w:t xml:space="preserve"> </w:t>
      </w:r>
    </w:p>
    <w:p w14:paraId="2714912D" w14:textId="77777777" w:rsidR="002B4106" w:rsidRPr="00470732" w:rsidRDefault="00421EC0" w:rsidP="00421EC0">
      <w:pPr>
        <w:pStyle w:val="p22"/>
        <w:spacing w:line="280" w:lineRule="exact"/>
        <w:ind w:left="4253"/>
        <w:jc w:val="both"/>
        <w:rPr>
          <w:sz w:val="20"/>
          <w:lang w:val="en-US"/>
        </w:rPr>
      </w:pPr>
      <w:r w:rsidRPr="00470732">
        <w:rPr>
          <w:sz w:val="20"/>
          <w:lang w:val="en-US"/>
        </w:rPr>
        <w:t xml:space="preserve">entered in the register of commercial undertakings under file no. KRS 0000321809, with the share capital of PLN 44,805,000 (paid up in full), </w:t>
      </w:r>
    </w:p>
    <w:p w14:paraId="5B1243B0" w14:textId="77777777" w:rsidR="00E14EC2" w:rsidRPr="00470732" w:rsidRDefault="00421EC0" w:rsidP="00421EC0">
      <w:pPr>
        <w:pStyle w:val="p22"/>
        <w:spacing w:line="280" w:lineRule="exact"/>
        <w:ind w:left="4253"/>
        <w:jc w:val="both"/>
        <w:rPr>
          <w:sz w:val="20"/>
          <w:lang w:val="en-US"/>
        </w:rPr>
      </w:pPr>
      <w:r w:rsidRPr="00470732">
        <w:rPr>
          <w:sz w:val="20"/>
          <w:lang w:val="en-US"/>
        </w:rPr>
        <w:t>NIP: 525-244-16-34, REGON: 141660448</w:t>
      </w:r>
    </w:p>
    <w:p w14:paraId="66BB96B2" w14:textId="77777777" w:rsidR="00E14EC2" w:rsidRPr="00470732" w:rsidRDefault="00E14EC2" w:rsidP="00E14EC2">
      <w:pPr>
        <w:pStyle w:val="NormalnyWeb"/>
        <w:shd w:val="clear" w:color="auto" w:fill="FFFFFF"/>
        <w:spacing w:before="0" w:beforeAutospacing="0" w:after="0" w:afterAutospacing="0"/>
        <w:ind w:left="3540" w:firstLine="708"/>
        <w:rPr>
          <w:b/>
          <w:sz w:val="20"/>
          <w:szCs w:val="20"/>
          <w:lang w:val="en-US"/>
        </w:rPr>
      </w:pPr>
      <w:r w:rsidRPr="00470732">
        <w:rPr>
          <w:b/>
          <w:bCs/>
          <w:lang w:val="en-US"/>
        </w:rPr>
        <w:tab/>
      </w:r>
    </w:p>
    <w:p w14:paraId="459109C0" w14:textId="77777777" w:rsidR="00E14EC2" w:rsidRPr="00470732" w:rsidRDefault="00E14EC2" w:rsidP="00E14EC2">
      <w:pPr>
        <w:pStyle w:val="p22"/>
        <w:spacing w:line="280" w:lineRule="exact"/>
        <w:jc w:val="both"/>
        <w:rPr>
          <w:iCs/>
          <w:sz w:val="20"/>
          <w:lang w:val="en-US"/>
        </w:rPr>
      </w:pP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p>
    <w:p w14:paraId="682FD17B" w14:textId="6A9F6176" w:rsidR="00E14EC2" w:rsidRPr="00470732" w:rsidRDefault="00E14EC2" w:rsidP="00A9150B">
      <w:pPr>
        <w:pStyle w:val="p22"/>
        <w:spacing w:line="240" w:lineRule="auto"/>
        <w:jc w:val="center"/>
        <w:rPr>
          <w:b/>
          <w:bCs/>
          <w:sz w:val="20"/>
          <w:lang w:val="en-US"/>
        </w:rPr>
      </w:pPr>
      <w:r w:rsidRPr="00470732">
        <w:rPr>
          <w:b/>
          <w:bCs/>
          <w:sz w:val="20"/>
          <w:lang w:val="en-US"/>
        </w:rPr>
        <w:t>BANK GUARANTEE NO. ..................</w:t>
      </w:r>
    </w:p>
    <w:p w14:paraId="7F6AE83F" w14:textId="5C696672" w:rsidR="003E63AE" w:rsidRPr="00470732" w:rsidRDefault="003E63AE" w:rsidP="00A9150B">
      <w:pPr>
        <w:pStyle w:val="p22"/>
        <w:spacing w:line="240" w:lineRule="auto"/>
        <w:jc w:val="center"/>
        <w:rPr>
          <w:sz w:val="20"/>
          <w:lang w:val="en-US"/>
        </w:rPr>
      </w:pPr>
      <w:r w:rsidRPr="00470732">
        <w:rPr>
          <w:sz w:val="20"/>
          <w:lang w:val="en-US"/>
        </w:rPr>
        <w:t>(hereinafter referred to as the “Guarantee”)</w:t>
      </w:r>
    </w:p>
    <w:p w14:paraId="0D844782" w14:textId="77777777" w:rsidR="006212D7" w:rsidRPr="00470732" w:rsidRDefault="006212D7" w:rsidP="003E63AE">
      <w:pPr>
        <w:pStyle w:val="p22"/>
        <w:spacing w:line="240" w:lineRule="auto"/>
        <w:rPr>
          <w:sz w:val="20"/>
          <w:lang w:val="en-US"/>
        </w:rPr>
      </w:pPr>
    </w:p>
    <w:p w14:paraId="26B80851" w14:textId="4D489D9E" w:rsidR="00A72947" w:rsidRPr="00470732" w:rsidRDefault="00E14EC2" w:rsidP="00362AAC">
      <w:pPr>
        <w:pStyle w:val="p18"/>
        <w:spacing w:line="240" w:lineRule="auto"/>
        <w:ind w:left="0" w:firstLine="0"/>
        <w:jc w:val="both"/>
        <w:rPr>
          <w:sz w:val="20"/>
          <w:lang w:val="en-US"/>
        </w:rPr>
      </w:pPr>
      <w:r w:rsidRPr="00470732">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defining the Principal’s obligations arising from the execution of the Agreement, and about the execution of the Agreement of .......... laying down the rules for establishing financial security for the Power Group, hereinafter referred to as the “Joint and Several Liability Agreement”. </w:t>
      </w:r>
    </w:p>
    <w:p w14:paraId="7D23C6D7" w14:textId="77777777" w:rsidR="00306A04" w:rsidRPr="00470732" w:rsidRDefault="00306A04" w:rsidP="00362AAC">
      <w:pPr>
        <w:pStyle w:val="p18"/>
        <w:spacing w:line="240" w:lineRule="auto"/>
        <w:ind w:left="0" w:firstLine="0"/>
        <w:jc w:val="both"/>
        <w:rPr>
          <w:sz w:val="20"/>
          <w:lang w:val="en-US"/>
        </w:rPr>
      </w:pPr>
    </w:p>
    <w:p w14:paraId="609027E1" w14:textId="6468A85D" w:rsidR="00362AAC" w:rsidRPr="00470732" w:rsidRDefault="00362AAC" w:rsidP="00362AAC">
      <w:pPr>
        <w:pStyle w:val="p18"/>
        <w:spacing w:line="240" w:lineRule="auto"/>
        <w:ind w:left="0" w:firstLine="0"/>
        <w:jc w:val="both"/>
        <w:rPr>
          <w:sz w:val="20"/>
          <w:lang w:val="en-US"/>
        </w:rPr>
      </w:pPr>
      <w:r w:rsidRPr="00470732">
        <w:rPr>
          <w:sz w:val="20"/>
          <w:lang w:val="en-US"/>
        </w:rPr>
        <w:t>The Principal is required to fulfill all its obligations towards Izba Rozliczeniowa Giełd Towarowych S.A. arising from the Regulations and the Joint and Several Liability Agreement.</w:t>
      </w:r>
    </w:p>
    <w:p w14:paraId="1556D3A8" w14:textId="77777777" w:rsidR="00E14EC2" w:rsidRPr="00470732" w:rsidRDefault="00E14EC2" w:rsidP="00E14EC2">
      <w:pPr>
        <w:pStyle w:val="p18"/>
        <w:spacing w:line="240" w:lineRule="auto"/>
        <w:ind w:left="0" w:firstLine="0"/>
        <w:jc w:val="both"/>
        <w:rPr>
          <w:sz w:val="20"/>
          <w:lang w:val="en-US"/>
        </w:rPr>
      </w:pPr>
    </w:p>
    <w:p w14:paraId="3F02A39B" w14:textId="15E7CFDD" w:rsidR="00E14EC2" w:rsidRPr="00470732" w:rsidRDefault="00E14EC2" w:rsidP="00E14EC2">
      <w:pPr>
        <w:pStyle w:val="p18"/>
        <w:tabs>
          <w:tab w:val="clear" w:pos="780"/>
        </w:tabs>
        <w:spacing w:line="240" w:lineRule="auto"/>
        <w:ind w:left="0" w:firstLine="0"/>
        <w:jc w:val="both"/>
        <w:rPr>
          <w:sz w:val="20"/>
          <w:lang w:val="en-US"/>
        </w:rPr>
      </w:pPr>
      <w:r w:rsidRPr="00470732">
        <w:rPr>
          <w:sz w:val="20"/>
          <w:lang w:val="en-US"/>
        </w:rPr>
        <w:t>Consequently, at the Principal’s request, we, ........, with our registered office at .................,</w:t>
      </w:r>
      <w:r w:rsidRPr="00470732">
        <w:rPr>
          <w:rStyle w:val="Odwoaniedokomentarza"/>
          <w:lang w:val="en-US"/>
        </w:rPr>
        <w:t xml:space="preserve"> </w:t>
      </w:r>
      <w:r w:rsidRPr="00470732">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78780D95" w:rsidR="00E14EC2" w:rsidRPr="00470732" w:rsidRDefault="00BF0367" w:rsidP="00F81C27">
      <w:pPr>
        <w:pStyle w:val="p22"/>
        <w:spacing w:before="120" w:after="120" w:line="240" w:lineRule="auto"/>
        <w:jc w:val="center"/>
        <w:rPr>
          <w:sz w:val="20"/>
          <w:lang w:val="en-US"/>
        </w:rPr>
      </w:pPr>
      <w:r w:rsidRPr="00470732">
        <w:rPr>
          <w:b/>
          <w:bCs/>
          <w:sz w:val="20"/>
          <w:lang w:val="en-US"/>
        </w:rPr>
        <w:t> EUR ................... (........................ euro),</w:t>
      </w:r>
    </w:p>
    <w:p w14:paraId="59FF08F1" w14:textId="132DF537" w:rsidR="007E7450" w:rsidRPr="00470732" w:rsidRDefault="007E7450" w:rsidP="00F81C27">
      <w:pPr>
        <w:pStyle w:val="p18"/>
        <w:spacing w:line="240" w:lineRule="auto"/>
        <w:ind w:left="0" w:firstLine="0"/>
        <w:jc w:val="both"/>
        <w:rPr>
          <w:sz w:val="20"/>
          <w:lang w:val="en-US"/>
        </w:rPr>
      </w:pPr>
      <w:r w:rsidRPr="00470732">
        <w:rPr>
          <w:sz w:val="20"/>
          <w:lang w:val="en-US"/>
        </w:rPr>
        <w:t>at your first written payment request, specifying the Guarantee number, the requested amount and a representation stating that the Principal has breached the provisions of the Regulations or the Joint and Several Liability Agreement and has not remedied such breaches by the required time limit.</w:t>
      </w:r>
    </w:p>
    <w:p w14:paraId="2806ED2E" w14:textId="77777777" w:rsidR="003C07A0" w:rsidRPr="00470732" w:rsidRDefault="003C07A0" w:rsidP="00F81C27">
      <w:pPr>
        <w:pStyle w:val="p18"/>
        <w:spacing w:line="240" w:lineRule="auto"/>
        <w:ind w:left="0" w:firstLine="0"/>
        <w:jc w:val="both"/>
        <w:rPr>
          <w:sz w:val="20"/>
          <w:lang w:val="en-US"/>
        </w:rPr>
      </w:pPr>
    </w:p>
    <w:p w14:paraId="2CC5B935" w14:textId="4AEDBFF2" w:rsidR="007E7450" w:rsidRPr="00470732" w:rsidRDefault="007E7450" w:rsidP="00F81C27">
      <w:pPr>
        <w:pStyle w:val="p22"/>
        <w:spacing w:line="240" w:lineRule="auto"/>
        <w:jc w:val="both"/>
        <w:rPr>
          <w:sz w:val="20"/>
          <w:lang w:val="en-US"/>
        </w:rPr>
      </w:pPr>
      <w:r w:rsidRPr="00470732">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470732" w:rsidRDefault="00E30E1C" w:rsidP="00F81C27">
      <w:pPr>
        <w:pStyle w:val="p22"/>
        <w:spacing w:line="240" w:lineRule="auto"/>
        <w:jc w:val="both"/>
        <w:rPr>
          <w:sz w:val="20"/>
          <w:lang w:val="en-US"/>
        </w:rPr>
      </w:pPr>
    </w:p>
    <w:p w14:paraId="2B1B5DDD" w14:textId="5D6F6DE3" w:rsidR="00BA4EA5" w:rsidRPr="00470732" w:rsidRDefault="00BA4EA5" w:rsidP="00F81C27">
      <w:pPr>
        <w:pStyle w:val="p22"/>
        <w:spacing w:line="240" w:lineRule="auto"/>
        <w:jc w:val="both"/>
        <w:rPr>
          <w:sz w:val="20"/>
          <w:lang w:val="en-US"/>
        </w:rPr>
      </w:pPr>
      <w:r w:rsidRPr="00470732">
        <w:rPr>
          <w:sz w:val="20"/>
          <w:lang w:val="en-US"/>
        </w:rPr>
        <w:t>The Bank hereby undertakes to promptly make the payment under this Guarantee, i.e. within 2 business days of the date of submission of your payment request in the form specified above if such request is submitted by 9:30 a.m. CET or within 3 business days if such request is submitted after 9:30 a.m. CET. In any case, the Central European Time (CET) zone shall apply. Any payment under this Guarantee shall be made in EUR.</w:t>
      </w:r>
    </w:p>
    <w:p w14:paraId="53ECB73C" w14:textId="77777777" w:rsidR="007E7450" w:rsidRPr="00470732" w:rsidRDefault="007E7450" w:rsidP="00F81C27">
      <w:pPr>
        <w:pStyle w:val="p22"/>
        <w:spacing w:line="240" w:lineRule="auto"/>
        <w:jc w:val="both"/>
        <w:rPr>
          <w:sz w:val="20"/>
          <w:lang w:val="en-US"/>
        </w:rPr>
      </w:pPr>
      <w:r w:rsidRPr="00470732">
        <w:rPr>
          <w:sz w:val="20"/>
          <w:lang w:val="en-US"/>
        </w:rPr>
        <w:t xml:space="preserve">  </w:t>
      </w:r>
    </w:p>
    <w:p w14:paraId="3B3E4B5E" w14:textId="77777777" w:rsidR="007E7450" w:rsidRPr="00470732" w:rsidRDefault="007E7450" w:rsidP="00F81C27">
      <w:pPr>
        <w:pStyle w:val="p22"/>
        <w:spacing w:line="240" w:lineRule="auto"/>
        <w:jc w:val="both"/>
        <w:rPr>
          <w:sz w:val="20"/>
          <w:lang w:val="en-US"/>
        </w:rPr>
      </w:pPr>
      <w:r w:rsidRPr="00470732">
        <w:rPr>
          <w:sz w:val="20"/>
          <w:lang w:val="en-US"/>
        </w:rPr>
        <w:t>Our liability under this Guarantee shall be reduced by the amounts paid to you hereunder.</w:t>
      </w:r>
    </w:p>
    <w:p w14:paraId="5FDE356E" w14:textId="77777777" w:rsidR="007E7450" w:rsidRPr="00470732" w:rsidRDefault="007E7450" w:rsidP="00F81C27">
      <w:pPr>
        <w:pStyle w:val="p22"/>
        <w:spacing w:line="240" w:lineRule="auto"/>
        <w:jc w:val="both"/>
        <w:rPr>
          <w:sz w:val="20"/>
          <w:lang w:val="en-US"/>
        </w:rPr>
      </w:pPr>
    </w:p>
    <w:p w14:paraId="4417B345" w14:textId="52AF5AEB" w:rsidR="00E30E1C" w:rsidRPr="00470732" w:rsidRDefault="007E7450" w:rsidP="00F81C27">
      <w:pPr>
        <w:pStyle w:val="p22"/>
        <w:spacing w:line="240" w:lineRule="auto"/>
        <w:jc w:val="both"/>
        <w:rPr>
          <w:sz w:val="20"/>
          <w:lang w:val="en-US"/>
        </w:rPr>
      </w:pPr>
      <w:r w:rsidRPr="00470732">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470732" w:rsidRDefault="00E30E1C" w:rsidP="00F81C27">
      <w:pPr>
        <w:pStyle w:val="p22"/>
        <w:spacing w:line="240" w:lineRule="auto"/>
        <w:jc w:val="both"/>
        <w:rPr>
          <w:sz w:val="20"/>
          <w:lang w:val="en-US"/>
        </w:rPr>
      </w:pPr>
    </w:p>
    <w:p w14:paraId="3B9166BA" w14:textId="1FF7C56E" w:rsidR="002C169A" w:rsidRPr="00470732" w:rsidRDefault="00D7713C" w:rsidP="00F81C27">
      <w:pPr>
        <w:pStyle w:val="p22"/>
        <w:spacing w:line="240" w:lineRule="auto"/>
        <w:jc w:val="both"/>
        <w:rPr>
          <w:sz w:val="20"/>
          <w:lang w:val="en-US"/>
        </w:rPr>
      </w:pPr>
      <w:bookmarkStart w:id="0" w:name="_Hlk27057311"/>
      <w:r w:rsidRPr="00470732">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bookmarkEnd w:id="0"/>
    </w:p>
    <w:p w14:paraId="7AEEAF37" w14:textId="77777777" w:rsidR="008F7067" w:rsidRPr="00470732" w:rsidRDefault="008F7067" w:rsidP="00F81C27">
      <w:pPr>
        <w:pStyle w:val="p22"/>
        <w:spacing w:line="240" w:lineRule="auto"/>
        <w:jc w:val="both"/>
        <w:rPr>
          <w:sz w:val="20"/>
          <w:lang w:val="en-US"/>
        </w:rPr>
      </w:pPr>
    </w:p>
    <w:p w14:paraId="541EC4DC" w14:textId="4CC11CEF" w:rsidR="002C169A" w:rsidRPr="00470732" w:rsidRDefault="002C169A" w:rsidP="00F81C27">
      <w:pPr>
        <w:pStyle w:val="p22"/>
        <w:spacing w:line="240" w:lineRule="auto"/>
        <w:jc w:val="both"/>
        <w:rPr>
          <w:sz w:val="20"/>
          <w:lang w:val="en-US"/>
        </w:rPr>
      </w:pPr>
      <w:r w:rsidRPr="00470732">
        <w:rPr>
          <w:sz w:val="20"/>
          <w:lang w:val="en-US"/>
        </w:rPr>
        <w:t>This Guarantee shall expire in full if the original of this Guarantee is returned to the Bank before the end of the validity period of this Guarantee.</w:t>
      </w:r>
    </w:p>
    <w:p w14:paraId="2F62CD1E" w14:textId="77777777" w:rsidR="007E7450" w:rsidRPr="00470732" w:rsidRDefault="007E7450" w:rsidP="00F81C27">
      <w:pPr>
        <w:pStyle w:val="p22"/>
        <w:tabs>
          <w:tab w:val="left" w:pos="360"/>
        </w:tabs>
        <w:spacing w:before="120" w:line="240" w:lineRule="auto"/>
        <w:jc w:val="both"/>
        <w:rPr>
          <w:sz w:val="20"/>
          <w:lang w:val="en-US"/>
        </w:rPr>
      </w:pPr>
      <w:r w:rsidRPr="00470732">
        <w:rPr>
          <w:sz w:val="20"/>
          <w:lang w:val="en-US"/>
        </w:rPr>
        <w:t>This Guarantee is governed by the laws of Poland.</w:t>
      </w:r>
    </w:p>
    <w:p w14:paraId="7C63BFFA" w14:textId="77777777" w:rsidR="007E7450" w:rsidRPr="00470732" w:rsidRDefault="007E7450" w:rsidP="00F81C27">
      <w:pPr>
        <w:pStyle w:val="p22"/>
        <w:spacing w:line="240" w:lineRule="auto"/>
        <w:jc w:val="both"/>
        <w:rPr>
          <w:sz w:val="20"/>
          <w:lang w:val="en-US"/>
        </w:rPr>
      </w:pPr>
    </w:p>
    <w:p w14:paraId="19C8CFFC" w14:textId="211DB20B" w:rsidR="007E7450" w:rsidRPr="00470732" w:rsidRDefault="007E7450" w:rsidP="00F81C27">
      <w:pPr>
        <w:pStyle w:val="p22"/>
        <w:spacing w:line="240" w:lineRule="auto"/>
        <w:jc w:val="both"/>
        <w:rPr>
          <w:sz w:val="20"/>
          <w:lang w:val="en-US"/>
        </w:rPr>
      </w:pPr>
      <w:r w:rsidRPr="00470732">
        <w:rPr>
          <w:sz w:val="20"/>
          <w:lang w:val="en-US"/>
        </w:rPr>
        <w:t>Any disputes arising from this Guarantee shall be resolved by a court with jurisdiction over the registered office of the Beneficiary under this Guarantee.</w:t>
      </w:r>
    </w:p>
    <w:p w14:paraId="47DFBB42" w14:textId="77777777" w:rsidR="007E7450" w:rsidRPr="00470732" w:rsidRDefault="007E7450" w:rsidP="00F81C27">
      <w:pPr>
        <w:pStyle w:val="p22"/>
        <w:spacing w:line="240" w:lineRule="auto"/>
        <w:jc w:val="both"/>
        <w:rPr>
          <w:sz w:val="20"/>
          <w:lang w:val="en-US"/>
        </w:rPr>
      </w:pPr>
    </w:p>
    <w:p w14:paraId="6D1F9C1B" w14:textId="77777777" w:rsidR="007E7450" w:rsidRPr="00470732" w:rsidRDefault="007E7450" w:rsidP="00F81C27">
      <w:pPr>
        <w:pStyle w:val="p22"/>
        <w:tabs>
          <w:tab w:val="left" w:pos="360"/>
        </w:tabs>
        <w:spacing w:line="240" w:lineRule="auto"/>
        <w:jc w:val="both"/>
        <w:rPr>
          <w:sz w:val="20"/>
          <w:lang w:val="en-US"/>
        </w:rPr>
      </w:pPr>
      <w:r w:rsidRPr="00470732">
        <w:rPr>
          <w:sz w:val="20"/>
          <w:lang w:val="en-US"/>
        </w:rPr>
        <w:t>This Guarantee may not be transferred to any other entity without the Bank’s written consent.</w:t>
      </w:r>
    </w:p>
    <w:p w14:paraId="70B49C6F" w14:textId="77777777" w:rsidR="007E7450" w:rsidRPr="00470732" w:rsidRDefault="007E7450" w:rsidP="007E7450">
      <w:pPr>
        <w:pStyle w:val="p22"/>
        <w:spacing w:line="240" w:lineRule="auto"/>
        <w:jc w:val="both"/>
        <w:rPr>
          <w:sz w:val="20"/>
          <w:lang w:val="en-US"/>
        </w:rPr>
      </w:pPr>
    </w:p>
    <w:p w14:paraId="139AE66A" w14:textId="77777777" w:rsidR="00E14EC2" w:rsidRPr="00470732" w:rsidRDefault="00E14EC2" w:rsidP="00E14EC2">
      <w:pPr>
        <w:pStyle w:val="p22"/>
        <w:spacing w:line="240" w:lineRule="auto"/>
        <w:jc w:val="both"/>
        <w:rPr>
          <w:sz w:val="20"/>
          <w:lang w:val="en-US"/>
        </w:rPr>
      </w:pPr>
    </w:p>
    <w:p w14:paraId="38862ACE" w14:textId="58577889" w:rsidR="00E14EC2" w:rsidRPr="00470732" w:rsidRDefault="00E14EC2" w:rsidP="00E14EC2">
      <w:pPr>
        <w:pStyle w:val="p22"/>
        <w:spacing w:line="240" w:lineRule="auto"/>
        <w:jc w:val="both"/>
        <w:rPr>
          <w:sz w:val="20"/>
          <w:lang w:val="en-US"/>
        </w:rPr>
      </w:pP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Pr="00470732">
        <w:rPr>
          <w:sz w:val="20"/>
          <w:lang w:val="en-US"/>
        </w:rPr>
        <w:tab/>
      </w:r>
      <w:r w:rsidR="00470732">
        <w:rPr>
          <w:sz w:val="20"/>
          <w:lang w:val="en-US"/>
        </w:rPr>
        <w:t xml:space="preserve">         </w:t>
      </w:r>
      <w:r w:rsidRPr="00470732">
        <w:rPr>
          <w:sz w:val="20"/>
          <w:lang w:val="en-US"/>
        </w:rPr>
        <w:t>...................................................................</w:t>
      </w:r>
    </w:p>
    <w:p w14:paraId="37C37DC9" w14:textId="2C3FCF6D" w:rsidR="00743AEF" w:rsidRPr="00470732" w:rsidRDefault="00E14EC2" w:rsidP="003E63AE">
      <w:pPr>
        <w:tabs>
          <w:tab w:val="left" w:pos="5140"/>
        </w:tabs>
        <w:rPr>
          <w:iCs/>
          <w:sz w:val="20"/>
          <w:szCs w:val="20"/>
          <w:lang w:val="en-US"/>
        </w:rPr>
      </w:pPr>
      <w:r w:rsidRPr="00470732">
        <w:rPr>
          <w:sz w:val="20"/>
          <w:szCs w:val="20"/>
          <w:lang w:val="en-US"/>
        </w:rPr>
        <w:tab/>
      </w:r>
      <w:r w:rsidRPr="00470732">
        <w:rPr>
          <w:sz w:val="20"/>
          <w:szCs w:val="20"/>
          <w:lang w:val="en-US"/>
        </w:rPr>
        <w:tab/>
        <w:t>(stamp and signatures for the Bank)</w:t>
      </w:r>
    </w:p>
    <w:sectPr w:rsidR="00743AEF" w:rsidRPr="00470732" w:rsidSect="004C6500">
      <w:headerReference w:type="default" r:id="rId7"/>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C0C1" w14:textId="77777777" w:rsidR="00CB186E" w:rsidRDefault="00CB186E" w:rsidP="00464A19">
      <w:r>
        <w:separator/>
      </w:r>
    </w:p>
  </w:endnote>
  <w:endnote w:type="continuationSeparator" w:id="0">
    <w:p w14:paraId="0C4FF6AE" w14:textId="77777777" w:rsidR="00CB186E" w:rsidRDefault="00CB186E" w:rsidP="0046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CA64" w14:textId="77777777" w:rsidR="00CB186E" w:rsidRDefault="00CB186E" w:rsidP="00464A19">
      <w:r>
        <w:separator/>
      </w:r>
    </w:p>
  </w:footnote>
  <w:footnote w:type="continuationSeparator" w:id="0">
    <w:p w14:paraId="2DE439EE" w14:textId="77777777" w:rsidR="00CB186E" w:rsidRDefault="00CB186E" w:rsidP="0046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B561" w14:textId="77777777" w:rsidR="00464A19" w:rsidRPr="000425CA" w:rsidRDefault="00464A19" w:rsidP="00464A19">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7AD1B599" w14:textId="77777777" w:rsidR="00464A19" w:rsidRPr="00464A19" w:rsidRDefault="00464A19">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438BD"/>
    <w:rsid w:val="00044FBD"/>
    <w:rsid w:val="00050A62"/>
    <w:rsid w:val="00061BEC"/>
    <w:rsid w:val="00062FE6"/>
    <w:rsid w:val="00072886"/>
    <w:rsid w:val="000B23F1"/>
    <w:rsid w:val="000C03FD"/>
    <w:rsid w:val="000E213B"/>
    <w:rsid w:val="000E6BE2"/>
    <w:rsid w:val="00152705"/>
    <w:rsid w:val="00157218"/>
    <w:rsid w:val="00184516"/>
    <w:rsid w:val="001D660A"/>
    <w:rsid w:val="001E6C15"/>
    <w:rsid w:val="001F187A"/>
    <w:rsid w:val="001F2C9E"/>
    <w:rsid w:val="001F60E9"/>
    <w:rsid w:val="00241C06"/>
    <w:rsid w:val="0025055E"/>
    <w:rsid w:val="00251CDF"/>
    <w:rsid w:val="00273A1D"/>
    <w:rsid w:val="002B4106"/>
    <w:rsid w:val="002C169A"/>
    <w:rsid w:val="002F3807"/>
    <w:rsid w:val="00306A04"/>
    <w:rsid w:val="00333E61"/>
    <w:rsid w:val="0033694D"/>
    <w:rsid w:val="003406B9"/>
    <w:rsid w:val="0035184B"/>
    <w:rsid w:val="00353F55"/>
    <w:rsid w:val="00357ED0"/>
    <w:rsid w:val="00362AAC"/>
    <w:rsid w:val="0037591D"/>
    <w:rsid w:val="00387F11"/>
    <w:rsid w:val="003B559D"/>
    <w:rsid w:val="003B630F"/>
    <w:rsid w:val="003C07A0"/>
    <w:rsid w:val="003E276F"/>
    <w:rsid w:val="003E4EEF"/>
    <w:rsid w:val="003E63AE"/>
    <w:rsid w:val="00413171"/>
    <w:rsid w:val="004161E7"/>
    <w:rsid w:val="00417256"/>
    <w:rsid w:val="00421EC0"/>
    <w:rsid w:val="004331FC"/>
    <w:rsid w:val="00464A19"/>
    <w:rsid w:val="00470732"/>
    <w:rsid w:val="00474AB0"/>
    <w:rsid w:val="004829E4"/>
    <w:rsid w:val="0049405B"/>
    <w:rsid w:val="004A37B2"/>
    <w:rsid w:val="004A7884"/>
    <w:rsid w:val="004C6500"/>
    <w:rsid w:val="004E2809"/>
    <w:rsid w:val="00507F2E"/>
    <w:rsid w:val="00517FFE"/>
    <w:rsid w:val="0055775B"/>
    <w:rsid w:val="00562AD5"/>
    <w:rsid w:val="00595C7D"/>
    <w:rsid w:val="005B4A36"/>
    <w:rsid w:val="005D2A39"/>
    <w:rsid w:val="005E01C0"/>
    <w:rsid w:val="0060349A"/>
    <w:rsid w:val="00614DD5"/>
    <w:rsid w:val="006212D7"/>
    <w:rsid w:val="006341DD"/>
    <w:rsid w:val="00643347"/>
    <w:rsid w:val="006D7C80"/>
    <w:rsid w:val="006E5744"/>
    <w:rsid w:val="006F0273"/>
    <w:rsid w:val="006F4C24"/>
    <w:rsid w:val="006F6327"/>
    <w:rsid w:val="00714440"/>
    <w:rsid w:val="00715A76"/>
    <w:rsid w:val="007315BF"/>
    <w:rsid w:val="00743AEF"/>
    <w:rsid w:val="00752F5B"/>
    <w:rsid w:val="0075478D"/>
    <w:rsid w:val="00763C97"/>
    <w:rsid w:val="00765122"/>
    <w:rsid w:val="00771AB7"/>
    <w:rsid w:val="0077789E"/>
    <w:rsid w:val="00785B90"/>
    <w:rsid w:val="007C3EA0"/>
    <w:rsid w:val="007C6C6E"/>
    <w:rsid w:val="007C7B6B"/>
    <w:rsid w:val="007E7450"/>
    <w:rsid w:val="00802BD6"/>
    <w:rsid w:val="00821B72"/>
    <w:rsid w:val="00841BFA"/>
    <w:rsid w:val="00851BB7"/>
    <w:rsid w:val="00854190"/>
    <w:rsid w:val="008863AD"/>
    <w:rsid w:val="008B307A"/>
    <w:rsid w:val="008B6164"/>
    <w:rsid w:val="008C5A55"/>
    <w:rsid w:val="008D4A63"/>
    <w:rsid w:val="008E02A2"/>
    <w:rsid w:val="008F7067"/>
    <w:rsid w:val="00904539"/>
    <w:rsid w:val="00920C36"/>
    <w:rsid w:val="00945071"/>
    <w:rsid w:val="00950C5C"/>
    <w:rsid w:val="0096275F"/>
    <w:rsid w:val="00984910"/>
    <w:rsid w:val="00990AE7"/>
    <w:rsid w:val="00993211"/>
    <w:rsid w:val="009A4430"/>
    <w:rsid w:val="009A66A9"/>
    <w:rsid w:val="009B0291"/>
    <w:rsid w:val="009B41C9"/>
    <w:rsid w:val="009D0BD1"/>
    <w:rsid w:val="009E49D5"/>
    <w:rsid w:val="009E7918"/>
    <w:rsid w:val="009F1CE2"/>
    <w:rsid w:val="009F4B78"/>
    <w:rsid w:val="00A2673F"/>
    <w:rsid w:val="00A35F89"/>
    <w:rsid w:val="00A64B0D"/>
    <w:rsid w:val="00A72947"/>
    <w:rsid w:val="00A9150B"/>
    <w:rsid w:val="00AD3369"/>
    <w:rsid w:val="00AE4CE3"/>
    <w:rsid w:val="00B02FCA"/>
    <w:rsid w:val="00B04D47"/>
    <w:rsid w:val="00B15048"/>
    <w:rsid w:val="00B27C7A"/>
    <w:rsid w:val="00B31AED"/>
    <w:rsid w:val="00B44C5D"/>
    <w:rsid w:val="00B50297"/>
    <w:rsid w:val="00B50846"/>
    <w:rsid w:val="00B5468B"/>
    <w:rsid w:val="00B81463"/>
    <w:rsid w:val="00B82594"/>
    <w:rsid w:val="00BA4EA5"/>
    <w:rsid w:val="00BC1AF1"/>
    <w:rsid w:val="00BE40B8"/>
    <w:rsid w:val="00BF0367"/>
    <w:rsid w:val="00BF150E"/>
    <w:rsid w:val="00C021A7"/>
    <w:rsid w:val="00C0579D"/>
    <w:rsid w:val="00C150FB"/>
    <w:rsid w:val="00C155D4"/>
    <w:rsid w:val="00C34FCC"/>
    <w:rsid w:val="00CB186E"/>
    <w:rsid w:val="00CE3A2D"/>
    <w:rsid w:val="00CF2145"/>
    <w:rsid w:val="00CF5C43"/>
    <w:rsid w:val="00D00624"/>
    <w:rsid w:val="00D50D68"/>
    <w:rsid w:val="00D7713C"/>
    <w:rsid w:val="00D80F5A"/>
    <w:rsid w:val="00D940B0"/>
    <w:rsid w:val="00DB0AE7"/>
    <w:rsid w:val="00DC4018"/>
    <w:rsid w:val="00DC6931"/>
    <w:rsid w:val="00DC6A23"/>
    <w:rsid w:val="00DE4B50"/>
    <w:rsid w:val="00E0088C"/>
    <w:rsid w:val="00E07A94"/>
    <w:rsid w:val="00E14EC2"/>
    <w:rsid w:val="00E30E1C"/>
    <w:rsid w:val="00E84A0A"/>
    <w:rsid w:val="00E91C6C"/>
    <w:rsid w:val="00E95484"/>
    <w:rsid w:val="00EC1146"/>
    <w:rsid w:val="00EC5094"/>
    <w:rsid w:val="00ED0FCD"/>
    <w:rsid w:val="00EF04A0"/>
    <w:rsid w:val="00F1674A"/>
    <w:rsid w:val="00F5065F"/>
    <w:rsid w:val="00F53ACD"/>
    <w:rsid w:val="00F61F3A"/>
    <w:rsid w:val="00F6689A"/>
    <w:rsid w:val="00F714F4"/>
    <w:rsid w:val="00F81931"/>
    <w:rsid w:val="00F81C27"/>
    <w:rsid w:val="00F8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464A19"/>
    <w:pPr>
      <w:tabs>
        <w:tab w:val="center" w:pos="4536"/>
        <w:tab w:val="right" w:pos="9072"/>
      </w:tabs>
    </w:pPr>
  </w:style>
  <w:style w:type="character" w:customStyle="1" w:styleId="NagwekZnak">
    <w:name w:val="Nagłówek Znak"/>
    <w:basedOn w:val="Domylnaczcionkaakapitu"/>
    <w:link w:val="Nagwek"/>
    <w:rsid w:val="00464A19"/>
    <w:rPr>
      <w:sz w:val="24"/>
      <w:szCs w:val="24"/>
    </w:rPr>
  </w:style>
  <w:style w:type="paragraph" w:styleId="Stopka">
    <w:name w:val="footer"/>
    <w:basedOn w:val="Normalny"/>
    <w:link w:val="StopkaZnak"/>
    <w:unhideWhenUsed/>
    <w:rsid w:val="00464A19"/>
    <w:pPr>
      <w:tabs>
        <w:tab w:val="center" w:pos="4536"/>
        <w:tab w:val="right" w:pos="9072"/>
      </w:tabs>
    </w:pPr>
  </w:style>
  <w:style w:type="character" w:customStyle="1" w:styleId="StopkaZnak">
    <w:name w:val="Stopka Znak"/>
    <w:basedOn w:val="Domylnaczcionkaakapitu"/>
    <w:link w:val="Stopka"/>
    <w:rsid w:val="00464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11</cp:revision>
  <cp:lastPrinted>2013-09-06T11:02:00Z</cp:lastPrinted>
  <dcterms:created xsi:type="dcterms:W3CDTF">2020-03-26T15:02:00Z</dcterms:created>
  <dcterms:modified xsi:type="dcterms:W3CDTF">2021-08-31T11:00:00Z</dcterms:modified>
</cp:coreProperties>
</file>